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Cs/>
          <w:szCs w:val="21"/>
        </w:rPr>
      </w:pPr>
    </w:p>
    <w:p>
      <w:pPr>
        <w:rPr>
          <w:rFonts w:ascii="宋体" w:hAnsi="宋体"/>
          <w:b/>
          <w:bCs/>
          <w:szCs w:val="21"/>
        </w:rPr>
      </w:pPr>
      <w:r>
        <w:rPr>
          <w:rFonts w:hint="eastAsia" w:ascii="宋体" w:hAnsi="宋体"/>
          <w:b/>
          <w:bCs/>
          <w:szCs w:val="21"/>
        </w:rPr>
        <w:t>一、判断题</w:t>
      </w:r>
    </w:p>
    <w:p>
      <w:pPr>
        <w:pStyle w:val="13"/>
        <w:numPr>
          <w:ilvl w:val="0"/>
          <w:numId w:val="1"/>
        </w:numPr>
        <w:ind w:firstLineChars="0"/>
        <w:rPr>
          <w:rFonts w:ascii="宋体" w:hAnsi="宋体"/>
          <w:szCs w:val="21"/>
        </w:rPr>
      </w:pPr>
      <w:r>
        <w:rPr>
          <w:rFonts w:hint="eastAsia" w:ascii="宋体" w:hAnsi="宋体"/>
          <w:szCs w:val="21"/>
        </w:rPr>
        <w:t>依据《内河小型渔船法定检验技术规则（2019）》，船长为1</w:t>
      </w:r>
      <w:r>
        <w:rPr>
          <w:rFonts w:ascii="宋体" w:hAnsi="宋体"/>
          <w:szCs w:val="21"/>
        </w:rPr>
        <w:t>0.8</w:t>
      </w:r>
      <w:r>
        <w:rPr>
          <w:rFonts w:hint="eastAsia" w:ascii="宋体" w:hAnsi="宋体"/>
          <w:szCs w:val="21"/>
          <w:lang w:val="en-US" w:eastAsia="zh-CN"/>
        </w:rPr>
        <w:t>0m</w:t>
      </w:r>
      <w:r>
        <w:rPr>
          <w:rFonts w:hint="eastAsia" w:ascii="宋体" w:hAnsi="宋体"/>
          <w:szCs w:val="21"/>
        </w:rPr>
        <w:t>，船龄为12年的内河捕捞钢质渔船，其检验证书的有效期为</w:t>
      </w:r>
      <w:r>
        <w:rPr>
          <w:rFonts w:ascii="宋体" w:hAnsi="宋体"/>
          <w:szCs w:val="21"/>
        </w:rPr>
        <w:t>60</w:t>
      </w:r>
      <w:r>
        <w:rPr>
          <w:rFonts w:hint="eastAsia" w:ascii="宋体" w:hAnsi="宋体"/>
          <w:szCs w:val="21"/>
        </w:rPr>
        <w:t>个月。在证书有效期内，船舶所有人应按年度→年度→年度→年度→换证检验顺序申报检验。</w:t>
      </w:r>
    </w:p>
    <w:p>
      <w:pPr>
        <w:ind w:left="210" w:hanging="210" w:hangingChars="100"/>
        <w:rPr>
          <w:rFonts w:ascii="宋体" w:hAnsi="宋体" w:cs="宋体"/>
          <w:kern w:val="0"/>
          <w:szCs w:val="21"/>
        </w:rPr>
      </w:pPr>
      <w:r>
        <w:rPr>
          <w:szCs w:val="21"/>
        </w:rPr>
        <w:t>答案：</w:t>
      </w:r>
      <w:r>
        <w:rPr>
          <w:rFonts w:hint="eastAsia" w:ascii="宋体" w:hAnsi="宋体" w:cs="宋体"/>
          <w:kern w:val="0"/>
          <w:szCs w:val="21"/>
        </w:rPr>
        <w:t>√</w:t>
      </w:r>
    </w:p>
    <w:p>
      <w:pPr>
        <w:pStyle w:val="13"/>
        <w:numPr>
          <w:ilvl w:val="0"/>
          <w:numId w:val="1"/>
        </w:numPr>
        <w:ind w:firstLineChars="0"/>
        <w:rPr>
          <w:rFonts w:ascii="宋体" w:hAnsi="宋体"/>
          <w:szCs w:val="21"/>
        </w:rPr>
      </w:pPr>
      <w:r>
        <w:rPr>
          <w:rFonts w:hint="eastAsia" w:ascii="宋体" w:hAnsi="宋体"/>
          <w:szCs w:val="21"/>
        </w:rPr>
        <w:t>依据《内河渔船法定检验技术规则（2019）》，内河渔船年度检验应在证书周年日前3个月内进行。</w:t>
      </w:r>
    </w:p>
    <w:p>
      <w:pPr>
        <w:rPr>
          <w:rFonts w:ascii="宋体" w:hAnsi="宋体"/>
          <w:szCs w:val="21"/>
        </w:rPr>
      </w:pPr>
      <w:r>
        <w:rPr>
          <w:rFonts w:hint="eastAsia" w:ascii="宋体" w:hAnsi="宋体"/>
          <w:szCs w:val="21"/>
        </w:rPr>
        <w:t>答案：×</w:t>
      </w:r>
    </w:p>
    <w:p>
      <w:pPr>
        <w:pStyle w:val="13"/>
        <w:numPr>
          <w:ilvl w:val="0"/>
          <w:numId w:val="1"/>
        </w:numPr>
        <w:ind w:firstLineChars="0"/>
        <w:rPr>
          <w:rFonts w:ascii="宋体" w:hAnsi="宋体"/>
          <w:szCs w:val="21"/>
        </w:rPr>
      </w:pPr>
      <w:r>
        <w:rPr>
          <w:rFonts w:hint="eastAsia" w:ascii="宋体" w:hAnsi="宋体"/>
          <w:szCs w:val="21"/>
        </w:rPr>
        <w:t>依据《内河小型渔船法定检验技术规则（2019）》，内河小型渔船的检验类别有初次检验、营运检验、临时检验。</w:t>
      </w:r>
    </w:p>
    <w:p>
      <w:pPr>
        <w:rPr>
          <w:rFonts w:ascii="宋体" w:hAnsi="宋体"/>
          <w:szCs w:val="21"/>
        </w:rPr>
      </w:pPr>
      <w:r>
        <w:rPr>
          <w:rFonts w:hint="eastAsia" w:ascii="宋体" w:hAnsi="宋体"/>
          <w:szCs w:val="21"/>
        </w:rPr>
        <w:t>答案：</w:t>
      </w:r>
      <w:r>
        <w:rPr>
          <w:rFonts w:hint="eastAsia" w:ascii="宋体" w:hAnsi="宋体" w:cs="宋体"/>
          <w:kern w:val="0"/>
          <w:szCs w:val="21"/>
        </w:rPr>
        <w:t>√</w:t>
      </w:r>
    </w:p>
    <w:p>
      <w:pPr>
        <w:numPr>
          <w:ilvl w:val="0"/>
          <w:numId w:val="1"/>
        </w:numPr>
        <w:rPr>
          <w:rFonts w:ascii="宋体" w:hAnsi="宋体"/>
          <w:szCs w:val="21"/>
        </w:rPr>
      </w:pPr>
      <w:r>
        <w:rPr>
          <w:rFonts w:ascii="宋体" w:hAnsi="宋体"/>
          <w:szCs w:val="21"/>
        </w:rPr>
        <w:t>验船师在现场检验时，如认为规则的某些规定不适用，船东很难做到，可以免除</w:t>
      </w:r>
      <w:r>
        <w:rPr>
          <w:rFonts w:hint="eastAsia" w:ascii="宋体" w:hAnsi="宋体"/>
          <w:szCs w:val="21"/>
        </w:rPr>
        <w:t>渔船技术法规</w:t>
      </w:r>
      <w:r>
        <w:rPr>
          <w:rFonts w:ascii="宋体" w:hAnsi="宋体"/>
          <w:szCs w:val="21"/>
        </w:rPr>
        <w:t>的某些要求。</w:t>
      </w:r>
    </w:p>
    <w:p>
      <w:pPr>
        <w:rPr>
          <w:rFonts w:ascii="宋体" w:hAnsi="宋体"/>
          <w:szCs w:val="21"/>
        </w:rPr>
      </w:pPr>
      <w:r>
        <w:rPr>
          <w:rFonts w:hint="eastAsia" w:ascii="宋体" w:hAnsi="宋体"/>
          <w:szCs w:val="21"/>
        </w:rPr>
        <w:t>答案：×</w:t>
      </w:r>
    </w:p>
    <w:p>
      <w:pPr>
        <w:numPr>
          <w:ilvl w:val="0"/>
          <w:numId w:val="1"/>
        </w:numPr>
        <w:rPr>
          <w:rFonts w:ascii="宋体" w:hAnsi="宋体"/>
          <w:szCs w:val="21"/>
        </w:rPr>
      </w:pPr>
      <w:r>
        <w:rPr>
          <w:rFonts w:hint="eastAsia" w:ascii="宋体" w:hAnsi="宋体"/>
          <w:szCs w:val="21"/>
        </w:rPr>
        <w:t>依据《内河渔船法定检验技术规则（2019）》，内河</w:t>
      </w:r>
      <w:r>
        <w:rPr>
          <w:rFonts w:ascii="宋体" w:hAnsi="宋体"/>
          <w:szCs w:val="21"/>
        </w:rPr>
        <w:t>小型渔船</w:t>
      </w:r>
      <w:r>
        <w:rPr>
          <w:rFonts w:hint="eastAsia" w:ascii="宋体" w:hAnsi="宋体"/>
          <w:szCs w:val="21"/>
        </w:rPr>
        <w:t>在申报</w:t>
      </w:r>
      <w:r>
        <w:rPr>
          <w:rFonts w:ascii="宋体" w:hAnsi="宋体"/>
          <w:szCs w:val="21"/>
        </w:rPr>
        <w:t>营运检验，船舶所有人应向渔船检验机构提交《船舶安全</w:t>
      </w:r>
      <w:r>
        <w:rPr>
          <w:rFonts w:hint="eastAsia" w:ascii="宋体" w:hAnsi="宋体"/>
          <w:szCs w:val="21"/>
          <w:lang w:val="en-US" w:eastAsia="zh-CN"/>
        </w:rPr>
        <w:t>环保</w:t>
      </w:r>
      <w:r>
        <w:rPr>
          <w:rFonts w:ascii="宋体" w:hAnsi="宋体"/>
          <w:szCs w:val="21"/>
        </w:rPr>
        <w:t>技术状况声明书》。</w:t>
      </w:r>
    </w:p>
    <w:p>
      <w:pPr>
        <w:rPr>
          <w:rFonts w:ascii="宋体" w:hAnsi="宋体"/>
          <w:szCs w:val="21"/>
        </w:rPr>
      </w:pPr>
      <w:r>
        <w:rPr>
          <w:szCs w:val="21"/>
        </w:rPr>
        <w:t>答案：</w:t>
      </w:r>
      <w:r>
        <w:rPr>
          <w:rFonts w:hint="eastAsia" w:ascii="宋体" w:hAnsi="宋体" w:cs="宋体"/>
          <w:kern w:val="0"/>
          <w:szCs w:val="21"/>
        </w:rPr>
        <w:t>√</w:t>
      </w:r>
    </w:p>
    <w:p>
      <w:pPr>
        <w:numPr>
          <w:ilvl w:val="0"/>
          <w:numId w:val="1"/>
        </w:numPr>
        <w:rPr>
          <w:rFonts w:ascii="宋体" w:hAnsi="宋体"/>
          <w:szCs w:val="21"/>
        </w:rPr>
      </w:pPr>
      <w:r>
        <w:rPr>
          <w:rFonts w:hint="eastAsia" w:ascii="宋体" w:hAnsi="宋体"/>
          <w:szCs w:val="21"/>
        </w:rPr>
        <w:t>依据《内河小型渔船法定检验技术规则（2019）》，</w:t>
      </w:r>
      <w:r>
        <w:rPr>
          <w:rFonts w:ascii="宋体" w:hAnsi="宋体"/>
          <w:szCs w:val="21"/>
        </w:rPr>
        <w:t>《</w:t>
      </w:r>
      <w:r>
        <w:rPr>
          <w:rFonts w:hint="eastAsia" w:ascii="宋体" w:hAnsi="宋体"/>
          <w:szCs w:val="21"/>
        </w:rPr>
        <w:t>内河小型渔船安全环保技术状况声明书</w:t>
      </w:r>
      <w:r>
        <w:rPr>
          <w:rFonts w:ascii="宋体" w:hAnsi="宋体"/>
          <w:szCs w:val="21"/>
        </w:rPr>
        <w:t>》的格式由各地渔船检验机构根据各地实际情况规定。</w:t>
      </w:r>
    </w:p>
    <w:p>
      <w:pPr>
        <w:rPr>
          <w:rFonts w:ascii="宋体" w:hAnsi="宋体"/>
          <w:szCs w:val="21"/>
        </w:rPr>
      </w:pPr>
      <w:r>
        <w:rPr>
          <w:rFonts w:hint="eastAsia" w:ascii="宋体" w:hAnsi="宋体"/>
          <w:szCs w:val="21"/>
        </w:rPr>
        <w:t>答案：×</w:t>
      </w:r>
    </w:p>
    <w:p>
      <w:pPr>
        <w:numPr>
          <w:ilvl w:val="0"/>
          <w:numId w:val="1"/>
        </w:numPr>
        <w:rPr>
          <w:rFonts w:ascii="宋体" w:hAnsi="宋体"/>
          <w:szCs w:val="21"/>
        </w:rPr>
      </w:pPr>
      <w:r>
        <w:rPr>
          <w:rFonts w:hint="eastAsia" w:ascii="宋体" w:hAnsi="宋体"/>
          <w:szCs w:val="21"/>
        </w:rPr>
        <w:t>依据《内河渔船法定检验技术规则（2019）》，</w:t>
      </w:r>
      <w:r>
        <w:rPr>
          <w:rFonts w:ascii="宋体" w:hAnsi="宋体"/>
          <w:szCs w:val="21"/>
        </w:rPr>
        <w:t>验船师系指持有主管机关核发的有效资格证书的从事渔船及船用产品检验的人员。</w:t>
      </w:r>
    </w:p>
    <w:p>
      <w:pPr>
        <w:rPr>
          <w:rFonts w:ascii="宋体" w:hAnsi="宋体"/>
          <w:szCs w:val="21"/>
        </w:rPr>
      </w:pPr>
      <w:r>
        <w:rPr>
          <w:szCs w:val="21"/>
        </w:rPr>
        <w:t>答案：</w:t>
      </w:r>
      <w:r>
        <w:rPr>
          <w:rFonts w:hint="eastAsia" w:ascii="宋体" w:hAnsi="宋体" w:cs="宋体"/>
          <w:kern w:val="0"/>
          <w:szCs w:val="21"/>
        </w:rPr>
        <w:t>√</w:t>
      </w:r>
    </w:p>
    <w:p>
      <w:pPr>
        <w:numPr>
          <w:ilvl w:val="0"/>
          <w:numId w:val="1"/>
        </w:numPr>
        <w:rPr>
          <w:rFonts w:ascii="宋体" w:hAnsi="宋体"/>
          <w:szCs w:val="21"/>
        </w:rPr>
      </w:pPr>
      <w:r>
        <w:rPr>
          <w:rFonts w:hint="eastAsia" w:ascii="宋体" w:hAnsi="宋体"/>
          <w:szCs w:val="21"/>
        </w:rPr>
        <w:t>依据《内河小型渔船法定检验技术规则（2019）》，</w:t>
      </w:r>
      <w:r>
        <w:rPr>
          <w:rFonts w:ascii="宋体" w:hAnsi="宋体"/>
          <w:szCs w:val="21"/>
        </w:rPr>
        <w:t>小型非机动渔船、无上层建筑或甲板室结构小型机动渔船、船长小于5m的小型机动渔船的检验，应当依据各省、自治区、直辖市验船机构根据</w:t>
      </w:r>
      <w:r>
        <w:rPr>
          <w:rFonts w:hint="eastAsia" w:ascii="宋体" w:hAnsi="宋体"/>
          <w:szCs w:val="21"/>
        </w:rPr>
        <w:t>该规则</w:t>
      </w:r>
      <w:r>
        <w:rPr>
          <w:rFonts w:ascii="宋体" w:hAnsi="宋体"/>
          <w:szCs w:val="21"/>
        </w:rPr>
        <w:t>制定适合本地区船舶特点的具体检验办法进行。</w:t>
      </w:r>
    </w:p>
    <w:p>
      <w:pPr>
        <w:rPr>
          <w:rFonts w:ascii="宋体" w:hAnsi="宋体"/>
          <w:szCs w:val="21"/>
        </w:rPr>
      </w:pPr>
      <w:r>
        <w:rPr>
          <w:szCs w:val="21"/>
        </w:rPr>
        <w:t>答案：</w:t>
      </w:r>
      <w:r>
        <w:rPr>
          <w:rFonts w:hint="eastAsia" w:ascii="宋体" w:hAnsi="宋体" w:cs="宋体"/>
          <w:kern w:val="0"/>
          <w:szCs w:val="21"/>
        </w:rPr>
        <w:t>√</w:t>
      </w:r>
    </w:p>
    <w:p>
      <w:pPr>
        <w:numPr>
          <w:ilvl w:val="0"/>
          <w:numId w:val="1"/>
        </w:numPr>
        <w:rPr>
          <w:rFonts w:ascii="宋体" w:hAnsi="宋体"/>
          <w:szCs w:val="21"/>
        </w:rPr>
      </w:pPr>
      <w:r>
        <w:rPr>
          <w:rFonts w:ascii="宋体" w:hAnsi="宋体"/>
          <w:szCs w:val="21"/>
        </w:rPr>
        <w:t>某小型木质流网渔船主机损坏严重需要更换，</w:t>
      </w:r>
      <w:r>
        <w:rPr>
          <w:rFonts w:hint="eastAsia" w:ascii="宋体" w:hAnsi="宋体"/>
          <w:szCs w:val="21"/>
        </w:rPr>
        <w:t>依据《内河小型渔船法定检验技术规则（2019）》，</w:t>
      </w:r>
      <w:r>
        <w:rPr>
          <w:rFonts w:ascii="宋体" w:hAnsi="宋体"/>
          <w:szCs w:val="21"/>
        </w:rPr>
        <w:t>船舶所有人更换主机即可，无需向渔船检验机构申报检验。</w:t>
      </w:r>
    </w:p>
    <w:p>
      <w:pPr>
        <w:rPr>
          <w:rFonts w:ascii="宋体" w:hAnsi="宋体"/>
          <w:szCs w:val="21"/>
        </w:rPr>
      </w:pPr>
      <w:r>
        <w:rPr>
          <w:rFonts w:ascii="宋体" w:hAnsi="宋体"/>
          <w:szCs w:val="21"/>
        </w:rPr>
        <w:t>答案：×</w:t>
      </w:r>
    </w:p>
    <w:p>
      <w:pPr>
        <w:numPr>
          <w:ilvl w:val="0"/>
          <w:numId w:val="1"/>
        </w:numPr>
        <w:rPr>
          <w:rFonts w:ascii="宋体" w:hAnsi="宋体"/>
          <w:szCs w:val="21"/>
        </w:rPr>
      </w:pPr>
      <w:r>
        <w:rPr>
          <w:rFonts w:hint="eastAsia" w:ascii="宋体" w:hAnsi="宋体"/>
          <w:szCs w:val="21"/>
        </w:rPr>
        <w:t>依据《内河小型渔船法定检验技术规则（2019）》，对</w:t>
      </w:r>
      <w:r>
        <w:rPr>
          <w:rFonts w:ascii="宋体" w:hAnsi="宋体"/>
          <w:szCs w:val="21"/>
        </w:rPr>
        <w:t>于船长在12米以下的</w:t>
      </w:r>
      <w:r>
        <w:rPr>
          <w:rFonts w:hint="eastAsia" w:ascii="宋体" w:hAnsi="宋体"/>
          <w:szCs w:val="21"/>
        </w:rPr>
        <w:t>内河</w:t>
      </w:r>
      <w:r>
        <w:rPr>
          <w:rFonts w:ascii="宋体" w:hAnsi="宋体"/>
          <w:szCs w:val="21"/>
        </w:rPr>
        <w:t>小型渔船检验，根据规则的要求初次检验、换证检验、年度检验均可以采用通过审查船舶所有人提交的</w:t>
      </w:r>
      <w:r>
        <w:rPr>
          <w:rFonts w:hint="eastAsia" w:ascii="宋体" w:hAnsi="宋体"/>
          <w:szCs w:val="21"/>
        </w:rPr>
        <w:t>《</w:t>
      </w:r>
      <w:r>
        <w:rPr>
          <w:rFonts w:hint="eastAsia" w:ascii="宋体" w:hAnsi="宋体"/>
          <w:bCs/>
          <w:szCs w:val="21"/>
        </w:rPr>
        <w:t>内河渔船安全环保技术状况声明书</w:t>
      </w:r>
      <w:r>
        <w:rPr>
          <w:rFonts w:hint="eastAsia" w:ascii="宋体" w:hAnsi="宋体"/>
          <w:szCs w:val="21"/>
        </w:rPr>
        <w:t>》</w:t>
      </w:r>
      <w:r>
        <w:rPr>
          <w:rFonts w:ascii="宋体" w:hAnsi="宋体"/>
          <w:szCs w:val="21"/>
        </w:rPr>
        <w:t>的检验方式进行。</w:t>
      </w:r>
    </w:p>
    <w:p>
      <w:pPr>
        <w:rPr>
          <w:rFonts w:ascii="宋体" w:hAnsi="宋体"/>
          <w:szCs w:val="21"/>
        </w:rPr>
      </w:pPr>
      <w:r>
        <w:rPr>
          <w:rFonts w:ascii="宋体" w:hAnsi="宋体"/>
          <w:szCs w:val="21"/>
        </w:rPr>
        <w:t>答案：×</w:t>
      </w:r>
    </w:p>
    <w:p>
      <w:pPr>
        <w:numPr>
          <w:ilvl w:val="0"/>
          <w:numId w:val="1"/>
        </w:numPr>
        <w:rPr>
          <w:rFonts w:ascii="宋体" w:hAnsi="宋体"/>
          <w:szCs w:val="21"/>
        </w:rPr>
      </w:pPr>
      <w:r>
        <w:rPr>
          <w:rFonts w:hint="eastAsia" w:ascii="宋体" w:hAnsi="宋体"/>
          <w:szCs w:val="21"/>
        </w:rPr>
        <w:t>依据《内河小型渔船法定检验技术规则（2019）》，</w:t>
      </w:r>
      <w:r>
        <w:rPr>
          <w:rFonts w:ascii="宋体" w:hAnsi="宋体"/>
          <w:szCs w:val="21"/>
        </w:rPr>
        <w:t>采用传统工艺建造的传统船型木质渔船，有些规定要求可以适当放宽。因此，验船师</w:t>
      </w:r>
      <w:r>
        <w:rPr>
          <w:rFonts w:hint="eastAsia" w:ascii="宋体" w:hAnsi="宋体"/>
          <w:szCs w:val="21"/>
        </w:rPr>
        <w:t>对</w:t>
      </w:r>
      <w:r>
        <w:rPr>
          <w:rFonts w:ascii="宋体" w:hAnsi="宋体"/>
          <w:szCs w:val="21"/>
        </w:rPr>
        <w:t>该类型渔船建造可同意其不提交设计图纸资料审查。</w:t>
      </w:r>
    </w:p>
    <w:p>
      <w:pPr>
        <w:rPr>
          <w:rFonts w:ascii="宋体" w:hAnsi="宋体"/>
          <w:szCs w:val="21"/>
        </w:rPr>
      </w:pPr>
      <w:r>
        <w:rPr>
          <w:rFonts w:ascii="宋体" w:hAnsi="宋体"/>
          <w:szCs w:val="21"/>
        </w:rPr>
        <w:t>答案：×</w:t>
      </w:r>
    </w:p>
    <w:p>
      <w:pPr>
        <w:numPr>
          <w:ilvl w:val="0"/>
          <w:numId w:val="1"/>
        </w:numPr>
        <w:rPr>
          <w:rFonts w:ascii="宋体" w:hAnsi="宋体"/>
          <w:szCs w:val="21"/>
        </w:rPr>
      </w:pPr>
      <w:r>
        <w:rPr>
          <w:rFonts w:hint="eastAsia" w:ascii="宋体" w:hAnsi="宋体"/>
          <w:szCs w:val="21"/>
        </w:rPr>
        <w:t>依据《内河小型渔船法定检验技术规则（2019）》，</w:t>
      </w:r>
      <w:r>
        <w:rPr>
          <w:rFonts w:ascii="宋体" w:hAnsi="宋体"/>
          <w:szCs w:val="21"/>
        </w:rPr>
        <w:t>《内河</w:t>
      </w:r>
      <w:r>
        <w:rPr>
          <w:rFonts w:hint="eastAsia" w:ascii="宋体" w:hAnsi="宋体"/>
          <w:szCs w:val="21"/>
        </w:rPr>
        <w:t>小型</w:t>
      </w:r>
      <w:r>
        <w:rPr>
          <w:rFonts w:ascii="宋体" w:hAnsi="宋体"/>
          <w:szCs w:val="21"/>
        </w:rPr>
        <w:t>渔船安全证书》的有效期为不超过72个月。</w:t>
      </w:r>
    </w:p>
    <w:p>
      <w:pPr>
        <w:rPr>
          <w:rFonts w:ascii="宋体" w:hAnsi="宋体"/>
          <w:szCs w:val="21"/>
        </w:rPr>
      </w:pPr>
      <w:r>
        <w:rPr>
          <w:rFonts w:ascii="宋体" w:hAnsi="宋体"/>
          <w:szCs w:val="21"/>
        </w:rPr>
        <w:t>答案：×</w:t>
      </w:r>
    </w:p>
    <w:p>
      <w:pPr>
        <w:numPr>
          <w:ilvl w:val="0"/>
          <w:numId w:val="1"/>
        </w:numPr>
        <w:rPr>
          <w:rFonts w:ascii="宋体" w:hAnsi="宋体"/>
          <w:szCs w:val="21"/>
        </w:rPr>
      </w:pPr>
      <w:r>
        <w:rPr>
          <w:rFonts w:hint="eastAsia" w:ascii="宋体" w:hAnsi="宋体"/>
          <w:szCs w:val="21"/>
        </w:rPr>
        <w:t>依据《内河渔船法定检验技术规则（2019）》，</w:t>
      </w:r>
      <w:r>
        <w:rPr>
          <w:rFonts w:ascii="宋体" w:hAnsi="宋体"/>
          <w:szCs w:val="21"/>
        </w:rPr>
        <w:t>如换证检验在现有证书到期之日的3个月之前完成，则新证书有效期限从换证检验完成之日算起。</w:t>
      </w:r>
    </w:p>
    <w:p>
      <w:pPr>
        <w:rPr>
          <w:rFonts w:ascii="宋体" w:hAnsi="宋体"/>
          <w:szCs w:val="21"/>
        </w:rPr>
      </w:pPr>
      <w:r>
        <w:rPr>
          <w:szCs w:val="21"/>
        </w:rPr>
        <w:t>答案：</w:t>
      </w:r>
      <w:r>
        <w:rPr>
          <w:rFonts w:hint="eastAsia" w:ascii="宋体" w:hAnsi="宋体" w:cs="宋体"/>
          <w:kern w:val="0"/>
          <w:szCs w:val="21"/>
        </w:rPr>
        <w:t>√</w:t>
      </w:r>
    </w:p>
    <w:p>
      <w:pPr>
        <w:numPr>
          <w:ilvl w:val="0"/>
          <w:numId w:val="1"/>
        </w:numPr>
        <w:rPr>
          <w:rFonts w:ascii="宋体" w:hAnsi="宋体"/>
          <w:szCs w:val="21"/>
        </w:rPr>
      </w:pPr>
      <w:r>
        <w:rPr>
          <w:rFonts w:hint="eastAsia" w:ascii="宋体" w:hAnsi="宋体"/>
          <w:szCs w:val="21"/>
        </w:rPr>
        <w:t>依据《内河小型渔船法定检验技术规则（2019）》，</w:t>
      </w:r>
      <w:r>
        <w:rPr>
          <w:rFonts w:ascii="宋体" w:hAnsi="宋体"/>
          <w:szCs w:val="21"/>
        </w:rPr>
        <w:t>在特殊情况下，船舶所有人不能按时申报换证检验，验船机构认为合理时，可将证书给予不超过3个月的展期。</w:t>
      </w:r>
    </w:p>
    <w:p>
      <w:pPr>
        <w:rPr>
          <w:rFonts w:ascii="宋体" w:hAnsi="宋体"/>
          <w:szCs w:val="21"/>
        </w:rPr>
      </w:pPr>
      <w:r>
        <w:rPr>
          <w:szCs w:val="21"/>
        </w:rPr>
        <w:t>答案：</w:t>
      </w:r>
      <w:r>
        <w:rPr>
          <w:rFonts w:ascii="宋体" w:hAnsi="宋体"/>
          <w:szCs w:val="21"/>
        </w:rPr>
        <w:t>×</w:t>
      </w:r>
    </w:p>
    <w:p>
      <w:pPr>
        <w:numPr>
          <w:ilvl w:val="0"/>
          <w:numId w:val="1"/>
        </w:numPr>
        <w:rPr>
          <w:rFonts w:ascii="宋体" w:hAnsi="宋体"/>
          <w:szCs w:val="21"/>
        </w:rPr>
      </w:pPr>
      <w:r>
        <w:rPr>
          <w:rFonts w:hint="eastAsia" w:ascii="宋体" w:hAnsi="宋体"/>
          <w:szCs w:val="21"/>
        </w:rPr>
        <w:t>依据《内河小型渔船法定检验技术规则（2019）》，</w:t>
      </w:r>
      <w:r>
        <w:rPr>
          <w:rFonts w:ascii="宋体" w:hAnsi="宋体"/>
          <w:szCs w:val="21"/>
        </w:rPr>
        <w:t>小型渔船若勘划载重线有困难，经验船师同意可免予勘划，但应在船舶证书中注明。</w:t>
      </w:r>
    </w:p>
    <w:p>
      <w:pPr>
        <w:rPr>
          <w:rFonts w:ascii="宋体" w:hAnsi="宋体"/>
          <w:szCs w:val="21"/>
        </w:rPr>
      </w:pPr>
      <w:r>
        <w:rPr>
          <w:rFonts w:ascii="宋体" w:hAnsi="宋体"/>
          <w:szCs w:val="21"/>
        </w:rPr>
        <w:t>答案：</w:t>
      </w:r>
      <w:r>
        <w:rPr>
          <w:rFonts w:hint="eastAsia" w:ascii="宋体" w:hAnsi="宋体" w:cs="宋体"/>
          <w:kern w:val="0"/>
          <w:szCs w:val="21"/>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265C69"/>
    <w:multiLevelType w:val="multilevel"/>
    <w:tmpl w:val="7A265C69"/>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EA1FCB"/>
    <w:rsid w:val="00052DA6"/>
    <w:rsid w:val="00085082"/>
    <w:rsid w:val="000A14BE"/>
    <w:rsid w:val="000C3F8B"/>
    <w:rsid w:val="000C6BC9"/>
    <w:rsid w:val="000E367A"/>
    <w:rsid w:val="000F5D4D"/>
    <w:rsid w:val="001252FF"/>
    <w:rsid w:val="00125BD3"/>
    <w:rsid w:val="001329B8"/>
    <w:rsid w:val="00141F2D"/>
    <w:rsid w:val="0015224B"/>
    <w:rsid w:val="00155B06"/>
    <w:rsid w:val="0016033B"/>
    <w:rsid w:val="001809FA"/>
    <w:rsid w:val="001C6A05"/>
    <w:rsid w:val="00203910"/>
    <w:rsid w:val="00206A19"/>
    <w:rsid w:val="00206E76"/>
    <w:rsid w:val="00210A35"/>
    <w:rsid w:val="00213CCE"/>
    <w:rsid w:val="002235DB"/>
    <w:rsid w:val="00245D58"/>
    <w:rsid w:val="00272FF1"/>
    <w:rsid w:val="002774AB"/>
    <w:rsid w:val="002803B0"/>
    <w:rsid w:val="00307BD2"/>
    <w:rsid w:val="00315489"/>
    <w:rsid w:val="00316D25"/>
    <w:rsid w:val="00354268"/>
    <w:rsid w:val="0037383C"/>
    <w:rsid w:val="003A4BE4"/>
    <w:rsid w:val="003D1A26"/>
    <w:rsid w:val="003E151D"/>
    <w:rsid w:val="003E55FD"/>
    <w:rsid w:val="00445FD5"/>
    <w:rsid w:val="004537E8"/>
    <w:rsid w:val="00466FBB"/>
    <w:rsid w:val="00470087"/>
    <w:rsid w:val="00487705"/>
    <w:rsid w:val="00495EC4"/>
    <w:rsid w:val="004A10EA"/>
    <w:rsid w:val="004C5B02"/>
    <w:rsid w:val="004C7946"/>
    <w:rsid w:val="004D4AAE"/>
    <w:rsid w:val="004E0015"/>
    <w:rsid w:val="004E3D3E"/>
    <w:rsid w:val="00503166"/>
    <w:rsid w:val="00515ABB"/>
    <w:rsid w:val="00555668"/>
    <w:rsid w:val="00563757"/>
    <w:rsid w:val="005A4AF2"/>
    <w:rsid w:val="005B1F87"/>
    <w:rsid w:val="0062454E"/>
    <w:rsid w:val="00631DCC"/>
    <w:rsid w:val="00670069"/>
    <w:rsid w:val="0067715D"/>
    <w:rsid w:val="00684EED"/>
    <w:rsid w:val="0070652B"/>
    <w:rsid w:val="00791F1B"/>
    <w:rsid w:val="007A3925"/>
    <w:rsid w:val="007B0B57"/>
    <w:rsid w:val="007C5E8C"/>
    <w:rsid w:val="007F1202"/>
    <w:rsid w:val="00817A24"/>
    <w:rsid w:val="008316A7"/>
    <w:rsid w:val="0084043A"/>
    <w:rsid w:val="00890461"/>
    <w:rsid w:val="00890518"/>
    <w:rsid w:val="008A7D9D"/>
    <w:rsid w:val="008C2DFA"/>
    <w:rsid w:val="008D1CD1"/>
    <w:rsid w:val="008D2D30"/>
    <w:rsid w:val="00933A6A"/>
    <w:rsid w:val="00937496"/>
    <w:rsid w:val="00965447"/>
    <w:rsid w:val="0098300E"/>
    <w:rsid w:val="009860B3"/>
    <w:rsid w:val="00994863"/>
    <w:rsid w:val="009E2B0E"/>
    <w:rsid w:val="009F27BE"/>
    <w:rsid w:val="00A40AD2"/>
    <w:rsid w:val="00A6289D"/>
    <w:rsid w:val="00A73F04"/>
    <w:rsid w:val="00A842D7"/>
    <w:rsid w:val="00A9031E"/>
    <w:rsid w:val="00AA1767"/>
    <w:rsid w:val="00AB0EDF"/>
    <w:rsid w:val="00AC7FB7"/>
    <w:rsid w:val="00AD077B"/>
    <w:rsid w:val="00AE5AF4"/>
    <w:rsid w:val="00AF6FC0"/>
    <w:rsid w:val="00B15414"/>
    <w:rsid w:val="00B56414"/>
    <w:rsid w:val="00B64223"/>
    <w:rsid w:val="00B66DA8"/>
    <w:rsid w:val="00B801BF"/>
    <w:rsid w:val="00B83006"/>
    <w:rsid w:val="00B929CC"/>
    <w:rsid w:val="00BC5CBE"/>
    <w:rsid w:val="00BC5EBB"/>
    <w:rsid w:val="00C27709"/>
    <w:rsid w:val="00C36B41"/>
    <w:rsid w:val="00C62056"/>
    <w:rsid w:val="00CB4DD5"/>
    <w:rsid w:val="00CB75E9"/>
    <w:rsid w:val="00CC0D2D"/>
    <w:rsid w:val="00CD3190"/>
    <w:rsid w:val="00CF1205"/>
    <w:rsid w:val="00D14F55"/>
    <w:rsid w:val="00D25B7E"/>
    <w:rsid w:val="00D31A62"/>
    <w:rsid w:val="00DA7C92"/>
    <w:rsid w:val="00E063F2"/>
    <w:rsid w:val="00E1544C"/>
    <w:rsid w:val="00E21528"/>
    <w:rsid w:val="00E976BF"/>
    <w:rsid w:val="00EA1FCB"/>
    <w:rsid w:val="00EA5ABA"/>
    <w:rsid w:val="00ED6F4E"/>
    <w:rsid w:val="00EF57BD"/>
    <w:rsid w:val="00F1197D"/>
    <w:rsid w:val="00F433C7"/>
    <w:rsid w:val="00F57FE2"/>
    <w:rsid w:val="00F71824"/>
    <w:rsid w:val="00F807B3"/>
    <w:rsid w:val="00FC2E06"/>
    <w:rsid w:val="086A61A6"/>
    <w:rsid w:val="0B0D2C1E"/>
    <w:rsid w:val="0B7A075E"/>
    <w:rsid w:val="16D66764"/>
    <w:rsid w:val="24942439"/>
    <w:rsid w:val="2A426494"/>
    <w:rsid w:val="3D886544"/>
    <w:rsid w:val="41A835D2"/>
    <w:rsid w:val="49AD5BC9"/>
    <w:rsid w:val="49B8547F"/>
    <w:rsid w:val="4C1710D6"/>
    <w:rsid w:val="4D452356"/>
    <w:rsid w:val="5265767D"/>
    <w:rsid w:val="6954706E"/>
    <w:rsid w:val="7C135285"/>
    <w:rsid w:val="7C3C5E6C"/>
    <w:rsid w:val="7CF20C20"/>
    <w:rsid w:val="7DC44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6"/>
    <w:semiHidden/>
    <w:unhideWhenUsed/>
    <w:qFormat/>
    <w:uiPriority w:val="99"/>
    <w:pPr>
      <w:ind w:left="100" w:leftChars="2500"/>
    </w:pPr>
  </w:style>
  <w:style w:type="paragraph" w:styleId="4">
    <w:name w:val="Balloon Text"/>
    <w:basedOn w:val="1"/>
    <w:link w:val="20"/>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semiHidden/>
    <w:unhideWhenUsed/>
    <w:uiPriority w:val="99"/>
    <w:rPr>
      <w:b/>
      <w:bCs/>
    </w:rPr>
  </w:style>
  <w:style w:type="character" w:styleId="10">
    <w:name w:val="annotation reference"/>
    <w:basedOn w:val="9"/>
    <w:semiHidden/>
    <w:unhideWhenUsed/>
    <w:uiPriority w:val="99"/>
    <w:rPr>
      <w:sz w:val="21"/>
      <w:szCs w:val="21"/>
    </w:rPr>
  </w:style>
  <w:style w:type="character" w:customStyle="1" w:styleId="11">
    <w:name w:val="页眉 字符"/>
    <w:basedOn w:val="9"/>
    <w:link w:val="6"/>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link w:val="15"/>
    <w:qFormat/>
    <w:uiPriority w:val="1"/>
    <w:rPr>
      <w:rFonts w:ascii="等线" w:hAnsi="等线" w:eastAsia="等线" w:cs="Times New Roman"/>
      <w:sz w:val="22"/>
      <w:szCs w:val="22"/>
      <w:lang w:val="en-US" w:eastAsia="zh-CN" w:bidi="ar-SA"/>
    </w:rPr>
  </w:style>
  <w:style w:type="character" w:customStyle="1" w:styleId="15">
    <w:name w:val="无间隔 字符"/>
    <w:link w:val="14"/>
    <w:uiPriority w:val="1"/>
    <w:rPr>
      <w:rFonts w:ascii="等线" w:hAnsi="等线" w:eastAsia="等线" w:cs="Times New Roman"/>
      <w:kern w:val="0"/>
      <w:sz w:val="22"/>
    </w:rPr>
  </w:style>
  <w:style w:type="character" w:customStyle="1" w:styleId="16">
    <w:name w:val="日期 字符"/>
    <w:basedOn w:val="9"/>
    <w:link w:val="3"/>
    <w:semiHidden/>
    <w:uiPriority w:val="99"/>
    <w:rPr>
      <w:rFonts w:ascii="Times New Roman" w:hAnsi="Times New Roman" w:eastAsia="宋体" w:cs="Times New Roman"/>
      <w:szCs w:val="24"/>
    </w:rPr>
  </w:style>
  <w:style w:type="character" w:customStyle="1" w:styleId="17">
    <w:name w:val="批注文字 字符"/>
    <w:basedOn w:val="9"/>
    <w:link w:val="2"/>
    <w:semiHidden/>
    <w:qFormat/>
    <w:uiPriority w:val="99"/>
    <w:rPr>
      <w:rFonts w:ascii="Times New Roman" w:hAnsi="Times New Roman" w:eastAsia="宋体" w:cs="Times New Roman"/>
      <w:szCs w:val="24"/>
    </w:rPr>
  </w:style>
  <w:style w:type="character" w:customStyle="1" w:styleId="18">
    <w:name w:val="批注主题 字符"/>
    <w:basedOn w:val="17"/>
    <w:link w:val="7"/>
    <w:semiHidden/>
    <w:uiPriority w:val="99"/>
    <w:rPr>
      <w:rFonts w:ascii="Times New Roman" w:hAnsi="Times New Roman" w:eastAsia="宋体" w:cs="Times New Roman"/>
      <w:b/>
      <w:bCs/>
      <w:szCs w:val="24"/>
    </w:rPr>
  </w:style>
  <w:style w:type="paragraph" w:customStyle="1" w:styleId="19">
    <w:name w:val="修订1"/>
    <w:hidden/>
    <w:semiHidden/>
    <w:uiPriority w:val="99"/>
    <w:rPr>
      <w:rFonts w:ascii="Times New Roman" w:hAnsi="Times New Roman" w:eastAsia="宋体" w:cs="Times New Roman"/>
      <w:kern w:val="2"/>
      <w:sz w:val="21"/>
      <w:szCs w:val="24"/>
      <w:lang w:val="en-US" w:eastAsia="zh-CN" w:bidi="ar-SA"/>
    </w:rPr>
  </w:style>
  <w:style w:type="character" w:customStyle="1" w:styleId="20">
    <w:name w:val="批注框文本 字符"/>
    <w:basedOn w:val="9"/>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1083</Words>
  <Characters>1135</Characters>
  <Lines>8</Lines>
  <Paragraphs>2</Paragraphs>
  <TotalTime>1</TotalTime>
  <ScaleCrop>false</ScaleCrop>
  <LinksUpToDate>false</LinksUpToDate>
  <CharactersWithSpaces>1135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2017-04-26T00:59:00Z</dcterms:created>
  <dc:creator>杨浩</dc:creator>
  <cp:lastModifiedBy>jsyj-ysc2</cp:lastModifiedBy>
  <dcterms:modified xsi:type="dcterms:W3CDTF">2023-09-09T08:17:13Z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59532EEDB45E412C934F065FB01F5FE7_12</vt:lpwstr>
  </property>
</Properties>
</file>